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Оценив представленные в материалы дела доказательства по правилам статьи 71 АПК РФ , руководствуясь положениями законодательства, регулирующими спорные правоотношения, установив факт перечисления банком денежных средств со счета юридического лица в пользу физических лиц, суды пришли к выводу об отсутствии неосновательного обогащения у банка.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Н.В. Павлова Суд: Верховный Суд РФ (подробнее) Истцы: ОАО "ЧСК-2" (подробнее) Ответчики: ПАО "Сбербанк России" (подробнее) Сбербанк России (подробнее) Иные лица: Отделение адресно-справочной работы Управления по вопросам миграции УМВД России по Вологодской области (подробнее) Судьи дела: Павлова Н.В. (судья) Последние документы по делу: Определение от 14 февраля 2024 г. по делу № А13-10861/2022 Определение от 8 января 2024 г. по делу № А13-10861/2022 Определение от 20 ноября 2023 г. по делу № А13-10861/2022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