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«Моспромстрой» (далее - АО «Моспромстрой», общество, заявитель)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«Промстроймонтаж» (далее - ООО «Промстроймонтаж», компания) о взыскании долга, неустойки, штрафной неустойки, процентов в общей сумме 51 783 762,55 руб. К совместному рассмотрению с первоначальным иском был принят встречный иск о взыскании задолженности и неустойки в общем размере 1 378 006,55 руб. Решением Арбитражного суда города Москвы от 14.04.2023 в удовлетворении первоначального и встречного исков отказано. Постановлением Девятого арбитражного апелляционного суда от 06.07.2023, оставленным без изменения постановлением Арбитражного суда Московского округа от 24.10.2023, решение Арбитражного суда города Москвы от 14.04.2023 изменено, по первоначальному иску взыскана неустойка в размере 650 564,56 руб., в остальной части иска отказано; по встречному иску взыскана задолженность в размере 650 564,56 руб., в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в части отказа во взыскании задолженности по оплате поставленных строительных материалов и распределении судебных расходов,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неправильно истолковали условия договора и не применили положения статей 704 , 745 Гражданского кодекса Российской Федерации (далее – ГК РФ). По мнению заявителя, передача строительных материалов осуществлялась не по давальческой схеме, а по отдельной сделке купли-продажи (товарная накладная по форме ТОРГ-12 от 02.04.2020 № 1080), в которой АО «Моспромстрой» является продавцом, а ООО «Промстройсонтаж»покупателем.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АО «Моспромстрой» (генподрядчик) и ООО «Промстройсонтаж» (подрядчик) был заключен договор подряда № 7121, в соответствии с условиями которого подрядчик обязался выполнить работы на объекте «Реконструкция под гостиничный комплекс с апартаментами с устройством подземной автостоянки по адресу &lt;...&gt;. Согласно пункту 2.3 договора договор заключается во исполнение договора от 01.08.2018 № 6486, заключенного между АО «Моспромстрой» и обществом с ограниченной ответственностью «Оргметстрой» (застройщиком). В обоснование заявленных требований АО «Моспромстрой» указало, что компанией выполнены работы общей стоимостью 8 221 475,40 руб., общество оплатило работы на сумму 7 159 837,07 руб., передало компании материалы на сумму 2 319 395,60 руб., удержало в качестве обеспечительного платежа 411 073,77 руб., следовательно, по мнению общества, задолженность компании составляет 51 783 762,55 руб., в том числе: 1 668 831,04 руб. - сумма основного долга; 49 608 413,28 руб. - неустойка за просрочку выполнения работ; 405 656,82 руб. - штрафная неустойка, предусмотренная пунктом 17.2.3 договора; 100 861,41 руб. - проценты за пользование чужими денежными средствами; проценты за пользование чужими денежными средствами, начисляемыми на сумму основного долга в размере 1 668 831,04 руб. с 01.10.2022 по дату фактического погашения задолженности. Встречный иск мотивирован нарушением обществом договорных обязательств в части оплаты выполненных работ в размере 1 061 638,33 руб. В связи с нарушением сроков оплаты работ компания начислила на сумму задолженности неустойку за период с 25.11.2021 по 19.09.2022.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руководствуясь положениями статей 8 , 9 , 11 , 12 , 153 , 154 , 161 , 307 - 310 , 314 , 328 , 329 - 331 , 395 , 401 , 420 - 424 , 431 - 434 , 450 , 452 . 453 , 702 , 708 , 709 , 711 , 720 ГК РФ , статей 153 , 154 , 248 , 249 Налогового кодекса Российской Федерации (далее – НК РФ), установив, что спорная задолженность (1 668 831,04 руб.) составляет стоимость давальческих материалов, необоснованно предъявленную к взысканию с компании, отказали в удовлетворении требований АО «Моспромстрой» в указанной части. При этом судебные инстанции исходили из того, что компания полностью отработала аванс, а переданные ей материалы вовлечены в производство работ, что отражено в актах выполненных работ по форме № КС-2 и исполнительной документации. Суды констатировали, что в форме № КС-2 для отражения использованных материалов заполняется отдельный раздел «Материалы заказчика» с указанием их стоимости, вместе с тем в настоящем случае переданные материалы отдельной строкой в актах по форме № КС-2 не выделены и их стоимость не согласована.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«Моспромстрой»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"Моспромстрой" (подробнее) Садковая.Ю.А (подробнее) Ответчики: ООО "Промстроймонтаж" (подробнее) Судьи дела: Чучунова Н.С.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