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Научно-производственный центр «Электронные вычислительно-информационные системы» (далее – Общество) обратилось в Арбитражный суд города Москвы с исковым заявлением к обществу с ограниченной ответственностью «ЭлКомИмпорт» (далее – Компания) о признании недействительным соглашения о погашении (реструктуризации) задолженности. Решением Арбитражного суда города Москвы от 26.04.2023, оставленным без изменения постановлением Девятого арбитражного апелляционного суда от 06.07.2023, в удовлетворении требований отказано. Постановлением Арбитражного суда Московского округа от 24.10.2023 решение от 26.04.2023 и апелляционное постановление от 06.07.2023 отменены, дело направлено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на ошибочность вывода суда округа о том, что подписание соглашения работником истца не свидетельствует об осведомленности последнего о названном документе.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16.12.2019 ФИО1 по доверенности от имени Общества подписано соглашение о погашении (реструктуризации) задолженности, возникшей перед Компанией, при этом истец указал, что оспариваемое соглашение у него отсутствует. По данному соглашению Общество имеет перед Компанией задолженность в размере 14 083 986 рублей 51 копейку, признавая ее в полном объеме. Долг подтвержден универсальными передаточными документами, товарными накладными и актами; соглашение также является актом сверки взаимных расчетов. Истец указал, что об оспариваемой сделке ему стало известно 30.06.2022 – после получения от Компании уведомления об уступке требования на основании договора от 28.06.2022 № 28.06.22. В обоснование требований Общество указало, что сделка содержит пороки, влекущие ее недействительность. Так, от имени Общества соглашение подписано представителем по доверенности от 15.01.2018 № 15.09.18(1)/ДВН ФИО1, который также является подписантом со стороны Компании как генеральный директор. Истец также полагает, что данное соглашение экономически необоснованно. Отказывая в удовлетворении требований, суды первой и апелляционной инстанций исходили из пропуска Обществом срока исковой давности, поскольку оспариваемая сделка совершена работником истца – ФИО1 (заместитель генерального директора, действовавший на основании доверенностей) 16.12.2019, тогда как истец обратился в суд с настоящими требованиями только 10.11.2022. Суд округа, проверив соответствие выводов судов установленным по делу обстоятельствам и имеющимся в деле доказательствам, правильность применения норм материального и процессуального права,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Руководствуясь статьями 174 , 181 , 182 Гражданского кодекса Российской Федерации, разъяснениями, изложенными в пункте 3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пункте 93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пункте 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кассационная инстанция указала, что для правильного определения момента начала течения срока исковой давности необходимо учесть, что в случае нарушения прав и законных интересов представляемого юридического лица представителем, действовавшим недобросовестно, срок исковой давности должен исчисляться с момента, когда о таком нарушении узнал или должен был узнать иной представитель, действующий добросовестно. Момент начала течения срока исковой давности судами первой и апелляционной инстанций определен без установления всех обстоятельств, имеющих значение для дела, и оценки имеющихся доказательств. Судами не учтено, что оспариваемая сделка подписана одним и тем же лицом как со стороны истца (представителем по доверенности ФИО1), так и со стороны ответчика (генеральным директором ФИО1). Истец пояснил, что мог бы узнать о сделке для ее совершения (или после), если бы представитель, действуя добросовестно, а не с нарушением пункта 3 статьи 182 Гражданского кодекса Российской Федерации, обратился за соответствующим одобрением. ФИО1, действуя недобросовестно, в собственных интересах, являясь не только представителем истца, но и руководителем ответчика, не получил одобрения сделки ни до момента ее совершения, ни после. Отсутствие такого согласия предполагает нарушение интересов представляемого, если не доказано иное. Истец настаивал на том, что ему было известно об оспариваемой сделке только 30.06.2022 после получения от ООО «ЭлКомИмпорт» уведомления об уступке требования от 28.06.2022. Суд округа заключил, что выводы судов основаны на неправильном бремени доказывания и сделаны без учета всех обстоятельств.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«ЭлКомИмпорт»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НАУЧНО-ПРОИЗВОДСТВЕННЫЙ ЦЕНТР "ЭЛЕКТРОННЫЕ ВЫЧИСЛИТЕЛЬНО-ИНФОРМАЦИОННЫЕ СИСТЕМЫ" (подробнее) Ответчики: ООО "ЭЛКОМИМПОРТ"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