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25.07.2023, оставленным без изменения постановлением Девятого арбитражного апелляционного суда от 26.09.2023, производство по заявлению прекращено. Постановлением Арбитражного суда Московского округа от 13.11.2023, определение и постановление апелляционного суда отменены, заявление направлено в суд первой инстанции для рассмотрения по существу. В кассационной жалобе Вавилова Т.Д. просит отменить постановление окружного суда, ссылаясь на отсутствие у конкурсного управляющего кредитора права на определение задолженности во внесудбном порядке, прекращение поручительства.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выявил неправильное применение нижестоящими судами пункта 2 статьи 7, пункта 2 статьи 213.5 Федерального закона от 26.10.2002 № 127-ФЗ «о несостоятельности (банкротстве)», пункта 1 статьи 384 Гражданского кодекса Российской Федерации к установленным обстоятельствам подачи заявления, поэтому признал необходимость нового его рассмотрения в соответствии с предоставленным статьями 286 - 288 Арбитражного процессуального кодекса Российской Федерации полномочиями. Приведенные в жалобе доводы, касающиеся обоснованности и размера задолженности, подлежат заявлению в суде первой инстанции.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Вавиловой Татьяне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