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14.12.2022, оставленным без изменения постановлением Первого арбитражного апелляционного суда от 10.03.2023 и постановлением Арбитражного суда Волго-Вятского округа от 19.10.2023, заявление удовлетворено. В кассационной жалобе ФИО1 просит об отмене судебных актов, ссылаясь на неправильную оценку обстоятельств заключения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наличие условий для недействительности в силу пункта 2 статьи 61.2 безвозмездной сделки между заинтересованными лицами, направленной на недопущение обращения на него взыскания по существующим обязательствам должника. Отличная от судебной оценка установленных обстоятельств заключения договора не создает обозначенных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"АльфаСтрахование" (подробнее) Иные лица: АО АльфаСтрахование (подробнее) Ассоциация АУ Гарантия (подробнее) МРИ ФНС 15 (подробнее) МРИ ФНС №2 (подробнее) ОПФР (подробнее) Росреестр (подробнее) УГИБДД (подробнее) УФССП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