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08.02.2024 обратился в Верховный Суд Российской Федерации с жалобой на определение судьи Верховного Суда Российской Федерации от 25.12.2023 № 305-ЭС23-25137, решение Арбитражного суда Московской области от 09.03.2023, постановление Десятого арбитражного апелляционного суда от 24.05.2023 и постановление Арбитражного суда Московского округа от 21.09.2023 по делу № А41-17461/2022,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«Национальный центр вертолетостроения имени М.Л. Миля и Н.И. Камова» о восстановлении пропущенного процессуального срока отказать. Жалобу возвратить заявителю.Судья Верховного Суда Российской Федерации М. К. Антонова Суд: Верховный Суд РФ (подробнее) Истцы: ЗАО АКЦИОНЕРНОЕ ОБЩЕСТВО НАЦИОНАЛЬНЫЙ ЦЕНТР ВЕРТОЛЕТОСТРОЕНИЯ ИМ. М.Л. МИЛЯ И Н.И. КАМОВА (подробнее) ОАО "НАУЧНО-ПРОИЗВОДСТВЕННОЕ ОБЪЕДИНЕНИЕ ГЕОФИЗИКА-НВ" (подробнее) Ответчики: АО "Московский вертолетный завод им. М. Л. Миля"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