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с кассационной жалобой, одновременно заявив ходатайство о приостановлении исполнения решения Арбитражного суда города Москвы от 13.04.2023.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Приведенные заявителем доводы носят предположительный характер и не подтверждают того, что испрашиваемая мера направлена на обеспечение баланса взаимных прав и обязанностей сторон. Учитывая необоснование заявителем необходимости приостановления исполнения судебных актов и неустановление судом требуемых частью 3 2 статьи 2916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«Научно-исследовательский и проектный институт гражданского строительства, благоустройства и городского дизайна «Моспроект-3» в приостановлении исполнения решения Арбитражного суда города Москвы от 13.04.2023 по делу № А40-301647/2022.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