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05.05.2023, оставленным без изменения постановлением Пятнадцатого арбитражного апелляционного суда от 20.07.2023 и постановлением Арбитражного суда Северо-Кавказского округа от 10.11.2023, иск удовлетворен. В кассационной жалобе Лихачев Д.А. просит об отмене судебных актов, ссылаясь на начисление процентов за пользование чужими денежными средствами в нарушение условий договора перевозки грузов и в период действия моратория, на игнорирование судами заявления о пропуске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наличие у ответчика обязанности в силу статьи 1102 Гражданского кодекса Российской Федерации возвратить полученную от истца сумму, поскольку оснований для ее удержания в отсутствие реального исполнения обязательства не установлено. Довод о наличии моратория на взыскание процентов, предусмотренных статьей 395 Гражданского кодекса Российской Федерации, отклонен на основании абзаца 2 пункта 7 постановления Пленума Верховного Суда Российской Федерации от 24.12.2020 № 44 «О некоторых вопросах применения положений статьи 9.1 Федерального закона от 26 октября 2002 года № 127-ФЗ «О несостоятельности (банкротстве)» и установленных обстоятельств спора. Приведенное заявителем обоснование применения сокращенного срока исковой давности не соответствует правоотношениям сторон.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Лихачеву Д.А.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