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28.04.2023, оставленным без изменения постановлением Второго арбитражного апелляционного суда от 20.07.2023 и постановлением Арбитражного суда Волго-Вятского округа от 25.10.2023, в удовлетворении заявления отказано. В кассационной жалобе Тюлькин С.В. просит об отмене судебных актов, ссылаясь на игнорирование существенных нарушений при проведении торгов.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проведение торгов в соответствии с утвержденным судом Положением и в соответствии со статьями 110, 111, 139, 213.25, 213.26 Федерального закона от 26.10.2002 № 127-ФЗ «О несостоятельности (банкротстве)», поэтому признали отсутствие предусмотренных статьей 449 Гражданского кодекса Российской Федерации признали отсутствие оснований условий для недействительности торгов и заключенного по их результату договора купли-продажи от 09.12.2020 № 1. Доводы должника рассмотрены, получили надлежащую оценку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Тюлькину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