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30.01.2023, оставленным без изменения постановлением Девятнадцатого арбитражного апелляционного суда от 27.04.2023 и постановлением Арбитражного суда Центрального округа от 12.10.2023, в удовлетворении иска отказано. В кассационной жалобе общество «Эмили Групп» просит об отмене судебных актов, ссылаясь на отсутствие надлежащей оценки доказательств фактической даты доставки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исполнения договора-заявки от 20.09.2021 № 89 ответчиком и установили отсутствие нарушения его ответчиком в качестве основания для взыскания штрафа. Вопросы доказывания и оценки доказательств, на которых основаны доводы кассационной жалобы,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общество с ограниченной ответственностью «Эмили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