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Арбитражный суд Московской области определением от 14.07.2023, оставленным без изменения постановлением Десятого арбитражного апелляционного суда от 30.08.2023 и постановлением Арбитражного суда Московского округа от 09.11.2023, утвердил Положение о порядке, сроках и условиях продажи имущества должника в редакции финансового управляющего, утвердил начальную цену продажи имущества в редакции финансового управляющего, в удовлетворении заявления должника отказал. В кассационной жалобе Константинов Д.В. просит об отмене судебных актов, ссылаясь на необходимость установления в качестве начальной действительной цены долей должника в обществах.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Установление рыночной цены в качестве начальной соответствует порядку реализации имущества в процедурах банкротства и статьям 110, 111, 112, 139, 140, 213.26 Федерального закона от 26.10.2002 № 127-ФЗ «О несостоятельности (банкротстве)» и не нарушает прав и законных интересов лиц, участвующих в деле.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Константинову Дмитрию Вячеславовичу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