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30.03.2023, оставленным без изменения постановлением Шестого арбитражного апелляционного суда от 12.07.2023 и постановлением Арбитражного суда Дальневосточного округа от 17.10.2023, взыскано 151 200 рублей 62 копейки пеней с учетом применения статьи 333 Гражданского кодекса Российской Федерации. В кассационной жалобе ОАО «Российские железные дороги» просит об отмене судебных актов, ссылаясь на неправильное определение размера неустойки по части накладных, неприменение моратория.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просрочку в доставке груза по железнодорожным накладным, поэтому удовлетворили иск за счет перевозчика в соответствии со статьями 784 , 785 , 792 Гражданского кодекса Российской Федерации, статьями 33 , 97 , 122 Федерального закона от 10.01.2003 № 18-ФЗ «Устав железнодорожного транспорта Российской Федерации», Правилами исчисления сроков доставки грузов, порожних грузовых вагонов железнодорожным транспортом, утвержденными приказом Минтранса России от 07.08.2015 № 245, снизив заявленный размер неустойки в соответствии со статьей 333 Гражданского кодекса Российской Федерации. Довод заявителя о неправильном расчете неустойки по двум железнодорожным накладным, провозная плата по которым субсидирована, правомерно и мотивированно отклонен. Исходя из срока исполнения обязательств, к неустойке за неисполнение которых ответчик просит о применении моратория, они применительно к данному в Федеральном законе от 26.10.2002 № 127-ФЗ «О несостоятельности (банкротстве)» определению относятся к текущим, поэтому в отношении них приостановление начисления заявленного штрафа не наступает.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"Нерюнгринская топливоперерабатывающая компания" (подробнее) Ответчики: ОАО "РЖД"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