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22.06.2023, оставленным без изменения постановлением Девятого арбитражного апелляционного суда от 28.08.2023, заявление удовлетворено. Постановлением Арбитражного суда Московского округа от 13.11.2023, определение и постановление апелляционного суда отменены, спор направлен на новое рассмотрение в суд первой инстанции. В кассационной жалобе агентство просит отменить постановление окружного суда, ссылаясь на приостановление течения срока исковой давности.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2 Суд кассационной инстанции, признав необходимость нового рассмотрения спора для установления не исследованных судом нижестоящей инстанции значимых обстоятельств, действовал в пределах полномочий, предоставленных статьями 286 - 288 Арбитражного процессуального кодекса Российской Федерации. При новом рассмотрении спора агентство вправе заявлять об обстоятельствах, влияющих на исчисление срока исковой давности.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КБ «Русский Ипотечный Банк» (ООО) в лице конкурсного управляющего ГК «АСВ»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