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16.08.2023, оставленным без изменения постановлением Восемнадцатого арбитражного апелляционного суда от 11.10.2023 и постановлением Арбитражного суда Уральского округа от 04.12.2023, заявление удовлетворено. В кассационной жалобе Лайтхман И.Р. просит об отмене судебных актов, ссылаясь на неправильную оценку обстоятельств заключения сделок.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совершение последовательных безвозмездных сделок между заинтересованными лицами, направленных на формальное изменение собственника имущества во избежание обращения взыскания на него по обязательствам должника перед кредиторами, в качестве условий для их недействительности в силу пункта 2 статьи 61.2 Федерального закона от 26.10.2002 № 127-ФЗ «О несостоятельности (банкротстве)» и статей 10, 168, 170 Гражданского кодекса Российской Федерации. Отличная от судебной оценка установленных обстоятельств заключения сделок не создает обозначенных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Лайтхман Илане Ранидовне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