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Восточно-Сибирского округа от 09.10.2023, оставленным без изменения определением того же суда от 30.10.2023, жалоба Бутенко Д.В. на определение Арбитражного суда Республики Тыва от 03.02.2023 и постановление Третьего арбитражного апелляционного суда от 22.08.2023 возвращена в связи с пропуском срока подачи и отказом в его восстановлении. В кассационной жалобе Бутенко Д.В. просит отменить судебные, ссылаясь на необходимость исчисления срока на обжалование со дня размещения судебного акта в информационно-телекоммуникационной системе «Интернет» и отсутствие нарушения срока подачи жалобы.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Исчисление заявителем срока на обжалование ошибочно, на что правильно указал окружной суд.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Бутенко Дмитрию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