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03.04.2023, оставленным без изменения постановлением Первого арбитражного апелляционного суда от 04.07.2023 и постановлением Арбитражного суда Волго-Вятского округа от 23.10.2023, в удовлетворении иска отказано. В кассационной жалобе общество «Ренна-Логистик» просит об отмене судебных актов, ссылаясь на нарушение презумпции вины перевозчика.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Презумпция вины перевозчика, следующая из нормы 796 Гражданского кодекса Российской Федерации, является опровержимой. Суды установили обстоятельства, опровергающие повреждение груза в процессе перевозки, поэтому отказали в возложении убытков вследствие повреждения груза на ответчика.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«Ренна-Логистик»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