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Пензенской области от 23.05.2023, оставленным без изменения постановлением Одиннадцатого арбитражного апелляционного суда от 25.07.2023, заявление кредитора удовлетворено в части включения требования в реестр. Арбитражный суд Поволжского округа постановлением от 11.10.2023 отменил определение от 23.05.2023 и постановление апелляционного суда от 25.07.2023 в части отказа в установлении залогового статуса требования и признал требование кредитора в размере 342 297 рублей 90 копеек подлежащим включению в третью очередь реестра как обеспеченного залогом имущества должника. В кассационной жалобе Танькова А.А. просит изменить судебные акты в части размера неустойки и залогового статуса требования, ссылаясь на уменьшение неустойки судом общей юрисдикции и необнаружение предмета залога в процессе исполнительного производства.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Начисление и взыскание арбитражным судом неустойки после принятия решения судом общей юрисдикции осуществлено на основании условий договора, и ее размер мог обсуждаться в рассматриваемом споре только в связи с соответствующим заявлением. Окончание исполнительного производства в связи с возбуждением дела о банкротстве не означает невозможности исполнения по причине утраты заложенного имущества, на что указали суды.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Таньковой А.А.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