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Воронежской области от 15.06.2023, оставленным без изменения постановлением Девятнадцатого арбитражного апелляционного суда от 07.08.2023 и постановлением Арбитражного суда Центрального округа от 27.11.2023, заявление удовлетворено в части исключения из конкурсной массы помещения; в удовлетворении требований в остальной части отказано. В кассационной жалобе Гусев А.В. просит об отмене судебных актов в части отказа в удовлетворении заявления об исключении денежных средств, ссылаясь на невозможность обращения взыскания на полученные в счет возмещения вреда здоровью денежные суммы.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исключили из конкурсной массы по правилу статьи 446 Гражданского процессуального кодекса Российской Федерации помещение, в котором должник зарегистрирован. В исключении из конкурсной массы земельного участка отказано в рамках самостоятельного спора. За счет страхового возмещения погашен долг должника перед АО «Россельхозбанк», во взыскании его в пользу должника отказано судом общей юрисдикции, поэтому оснований для исключения суммы страхового возмещения из конкурсной массы отсутствуют. Иное определение правовой природы спорной суммы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Гусеву Артему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