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25.04.2023, оставленным без изменения постановлением Девятого арбитражного апелляционного суда от 21.07.2023 и постановлением Арбитражного суда Московского округа от 20.10.2023, в удовлетворении иска отказано. В кассационной жалобе Ткаченко А.Н. просит об отмене судебных актов, ссылаясь на игнорирование наличие у виновного лица контракта с Минобороны России и лишение возможности заблаговременного ознакомления с письменными объяснениями ответчика для привлечения соответчиков.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статей 15, 1079 Гражданского кодекса Российской Федерации обязанность возмещения вреда возлагается на владельца источника повышенной опасности, при использовании которого причинен вред. Применительно к статье 1068 Кодекса значимым является личность лица, во владении которого находится автомобиль в момент причинения вреда, а не стороны по контракту о прохождении воинской службы с непосредственным причинителем вреда. Выбор надлежащего ответчика осуществляется исходя их документов, оформленных в связи с дорожно-транспортным происшествием, и не связан с позицией противной стороны.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Ткаченко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