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12.04.2023, оставленным без изменения постановлением Восемнадцатого арбитражного апелляционного суда от 31.07.2023 и постановлением Арбитражного суда Уральского округа от 10.10.2023, признано незаконным бездействие арбитражного управляющего Муртазина Р.Н. в части необеспечения сохранности залогового имущества и взысканы убытки в размере 3 661 729 рублей. В кассационной жалобе Муртазин Р.Н. просит отменить судебные акты, ссылаясь на нарушение единообразия судебной практики, аффилированность участников спора и неустановление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ухудшение состояния помещения, не являющегося для должника местом проживания, в период исполнения управляющим обязанностей в деле о банкротстве, повлекшее возникновение убытков на определенную на основании судебной экспертизы сумму, поэтому удовлетворили жалобу в силу статей 20.3, 20.4, 60, 213.9, 213.25 Федерального закона от 26.10.2002 № 127-ФЗ «О несостоятельности (банкротстве)», статьи 15 Гражданского кодекса Российской Федерации и их судебного толкования. Иная оценка управляющим обстоятельств возникновения убытков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Муртазину Р.Н.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