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Арбитражный суд города Москвы определением от 13.02.2023, оставленным без изменения постановлением Девятого арбитражного апелляционного суда от 05.07.2023 и постановлением Арбитражного суда Московского округа от 10.10.2023, признал незаконными действия финансового управляющего по выплате себе процентов по вознаграждению в размере 10 381 010 рублей 70 копеек и обязал возвратить указанную сумму в конкурсную массу должника; в удовлетворении заявления об установлении вознаграждения отказано. В кассационной жалобе Чулок Н.Г. просит об отмене судебных актов, ссылаясь на игнорирование достигнутого с кредитором соглашения.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недостижение результата, который мог бы повлечь выплату управляющему стимулирующей части вознаграждения, признав его удержание управляющим незаконным. Вопрос о праве на фиксированное вознаграждение разрешен судами.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Чулок Н.Г.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