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22.03.2023, оставленным без изменения постановлением Двадцатого Арбитражного апелляционного суда от 06.06.2023 и постановлением Арбитражного суда Центрального округа от 18.09.2023, заявление кредитора признано обоснованным, в отношении должника введена процедура реструктуризации долгов, требование кредитора в включено в реестр, утвержден финансовый управляющий. В кассационной жалобе Жучков М.В.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представленных доказательствах и соответствуют статьям 213.2, 213.3, 213.5, 213.6, 213.13 Федерального закона от 26.10.2002 № 127-ФЗ «О несостоятельности (банкротстве)». Изложенные в жалобе доводы не влияют на результат рассмотрения заявления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Жучкову Михаилу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