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Одиннадцатого арбитражного апелляционного суда от 27.04.2023, оставленным без изменения постановлением Арбитражного суда Поволжского округа от 03.11.2023, в удовлетворении заявления отказано. В кассационной жалобе Бочкарева Л.А. просит об отмене судебных актов, ссылаясь на неправильную оценку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у заявленного обстоятельства признаков, необходимых в силу части 2 статьи 311 Арбитражного процессуального кодекса Российской Федерации для пересмотра судебного акта. Отличная от судебной позиция должника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Бочкаревой Людмиле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