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Поволжского округа от 31.08.2023, оставленным без изменения определением того же суда от 11.10.2023, жалоба Савгильдиной А.О. на определение Арбитражного суда Республики Татарстан от 16.11.2022 и постановление Одиннадцатого арбитражного апелляционного суда от 02.05.2023 возвращена в связи с пропуском срока подачи и отказом в восстановлении срока. В кассационной жалобе Савгильдина А.О. просит отменить судебные акты, ссылаясь на игнорирование того, что заявитель не является профессиональным участником коммерческих отношений.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округа установил, что заявитель будучи извещенным о начавшемся процессе пропустил срок на подачу кассационной жалобы и предельный срок для подачи ходатайства о восстановлении срока, поэтому отказ в восстановлении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Савгильдиной Анастасии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