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«Махаон» обратилось в Арбитражный суд города Санкт-Петербурга и Ленинградской области с иском к ООО «Нордик» о признании договора купли-продажи оборудования от 28.09.2016 № 1 в части приложений № 3-6 недействительной (ничтожной) сделкой; признании за ООО «Махаон» права собственности на оборудование, находящееся по адресу: Санкт-Петербург, 8-й Верхний переулок, дом 4, литера Б (холодильные камеры 4а, 4б, 5, 7а); нарезывательно- упаковочную линию SCHINDLER&amp;WAGNER SCV 26627/300 (в комплекте с заточным станком для ножей), серийный номер 703695; вакуумный упаковочный автомат VARIOVAC MULTIPOW ER 192, серийный номер 560.192.08; маркиратор GH 7100 BLZERBA, серийный номер 10184227; вакуумный упаковщик WEBOMATIC CD-130, серийный номер 5810011190; камерная упаковочная машина C702 с камерой большого объема, серийный 2 номер 105765; два штабелера BT SWE 120 – в количестве 2 шт.; дезинфектор COMPACT SC03283; воздушный компрессор FLEX-15 (линия нарезки); электросушилка на 42 пары; автомат для печати этикеток DATAMAX DMX 4208; автомат для печати этикеток DATAMAX DMX-M-4206; рохля OTTO KURTBACH OK-25; рохля BT. К участию в деле в качестве третьего лица, не заявляющего самостоятельных требований относительно предмета спора, привлечено ООО «Продлайн». Решением Арбитражного суда города Санкт-Петербурга и Ленинградской области от 19.12.2022, оставленным без изменения постановлением Тринадцатого арбитражного апелляционного суда от 24.04.2023 и постановлением Арбитражного суда Северо-Западного округа от 08.08.2023, в иске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Последним обжалуемым судебным актом является постановление суда округа от 08.08.2023, тогда как кассационная жалоба была направлена почтовым отправлением 05.02.2024 (штамп почтовой службы), то есть с пропуском установленного срока. Арбитражный суд восстанавливает пропущенный процессуальный срок, если признает причины пропуска срока уважительными (часть 2 статьи 117 АПК РФ). Подача ходатайства о восстановлении процессуального срока на обжалование судебных актов само по себе не является основанием для восстановления процессуального срока. При рассмотрении вопроса о восстановлении пропущенного процессуального срока арбитражный суд в 3 каждом конкретном случае выясняет, являются ли причины его пропуска уважительными.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рассматриваемом случае ООО «Махаон» не приведено уважительных причин в обоснование ходатайства о восстановлении процессуального срока. Ссылки заявителя на невозможность своевременного получения надлежащим образом заверенных копий обжалуемых судебных актов не свидетельствуют об уважительности пропуска срока, ввиду отсутствия подтверждающих документов, учитывая, то, что с настоящим ходатайством ООО «Махаон» обратилось за 3 дня до истечения предельного шестимесячного срока, установленного для подачи соответствующего ходатайства. Кроме того, как следует из обжалуемых актов, ООО «Махаон» являлась инициатором кассационного обжалования, его представитель присутствовал в судебном заседании суда округа на рассмотрении кассационной жалобы; из информации, размещенной в Картотеке арбитражных дел в сети Интернет, следует, что полный текст постановления от 08.08.2023 опубликован в общедоступной базе судебных актов 09.08.2023. Таким образом, заявитель имел реальную возможность в установленный законом срок подготовить надлежащим образом и направить жалобу в адрес Верховного Суда Российской Федерации. Согласно статье 9 АПК РФ лица, участвующие в деле, несут риск наступления последствий совершения или не совершения ими процессуальных действий. Руководствуясь статьями 117, 184,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«Махаон» о восстановлении пропущенного процессуального срока. Кассационную жалобу на решение Арбитражного суда города Санкт- Петербурга и Ленинградской области от 19.12.2022, постановление Тринадцатого арбитражного апелляционного суда от 24.04.2023 и постановление Арбитражного суда Северо-Западного округа от 08.08.2023 по делу № А56-47749/2022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