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21.06.2023, оставленным без изменения постановлением Одиннадцатого арбитражного апелляционного суда от 08.08.2023 и постановлением Арбитражного суда Поволжского округа от 07.11.2023, заявление признано обоснованным, в отношении должника введена процедура реструктуризации долгов гражданина, утвержден финансовый управляющий, требование кредитора в размере 32 625 591 рубля 27 копеек включено в третью очередь реестра. В кассационной жалобе Скрицкий А.А. просит об отмене судебных актов, ссылаясь на несогласие с кандидатурой финансового управляющего, отсутствие неплатежеспособности, непривлечение к участию в деле органа опеки и попечительства.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кредитора об исполнении обязанности по возврату просуженного долга посредством возбуждения процедуры банкротства соответствует статьям 213.2, 213.3, 213.6, 71, 100 Федерального закона от 26.10.2002 № 127-ФЗ «О несостоятельности (банкротстве)». Ведение процедуры реструктуризации долга учитывает доводы должника о финансовой возможности погашения долга. Доводы в связи с кандидатурой финансового управляющего и участием органа опеки и попечительства рассмотрены и получили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Скрицкому Анатолию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