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«ТрансМаг» (далее – ООО «ТрансМаг», общество, истец) обратилось в Арбитражный суд Челябинской области с исковым заявлением к обществу с ограниченной ответственностью «Дельта» (далее - ООО «Дельта», компания, ответчик, заявитель) о взыскании задолженности в сумме 7 830 руб. по оплате поставленной продукции, а также расходов по уплаченной государственной пошлине и 700 руб. почтовых расходов. Решением Арбитражного суда Челябинской области от 11.04.2023, оставленным без изменения постановлением Восемнадцатого арбитражного апелляционного суда от 29.06.2023, исковые требования удовлетворены частично, с ответчика в пользу истца взысканы 7 830 руб. долга по оплате товара, а также 2 000 руб. расходов по уплате госпошлины и 472,28 руб. почтовых расходов; в удовлетворении требований в остальной части отказано. 2 Постановлением Арбитражного суда Дальневосточного округа от 31.10.2023 указанные судебные акты оставлены без изменения. Не согласившись с вынесенными судебными актами, заявитель 27.01.2024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31.10.2023, тогда как кассационная жалоба направлена заявителем 27.01.2024,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«Дельта». 3 Срок подачи кассационной жалобы общества с ограниченной ответственностью «Дельта» на решение Арбитражного суда Челябинской области от 11.04.2023, постановление Восемнадцатого арбитражного апелляционного суда от 29.06.2023 и постановление Арбитражного суда Уральского округа от 31.10.2023 по делу № А76-30820/2022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