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Мелькумов Александр Георгиевич (далее - ИП Мелькумов А.Г., истец, заявитель) обратился в Арбитражный суд города Москвы с иском, уточненным в порядке статьи 49 Арбитражного процессуального кодекса Российской Федерации (далее – АПК РФ), к индивидуальному предпринимателю Гавриловой Татьяне Александровне (далее - ИП Гаврилова Т.А., ответчик) о взыскании 3 343 800 руб. неосновательного обогащения. Решением Арбитражного суда города Москвы от 02.02.2023, оставленным без изменения постановлением Девятого арбитражного апелляционного суда от 08.08.2023, в удовлетворении исковых требований отказано. Постановлением Арбитражного суда Московского округа от 02.11.2023 указанные судебные акты оставлены без изменения. 2 Не согласившись с вынесенными судебными актами, заявитель 05.02.2024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02.11.2023, тогда как кассационная жалоба направлена заявителем 05.02.2024,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Мелькумова Александра Георгиевича. 3 Срок подачи кассационной жалобы на решение Арбитражного суда города Москвы от 02.02.2023, постановление Девятого арбитражного апелляционного суда от 08.08.2023 и постановление Арбитражного суда Московского округа от 02.11.2023 по делу № А40-173551/2022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