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25.02.2023 в удовлетворении иска отказано. Постановлением Восемнадцатого арбитражного апелляционного суда от 16.06.2023, оставленным без изменения постановлением Арбитражного суда Уральского округа от 11.10.2023, решение суда отменено, иск удовлетворен в части взыскания 1 500 038 рублей неосновательного обогащения, 245 217 рублей 78 копеек процентов за пользование чужими денежными средствами с дальнейшим их начислением по день фактического исполнения обязательства, с учетом моратория, введенного постановлением Правительства Российской Федерации от 28.03.2022 № 497. 2 В кассационной жалобе Игнатов А.Н. просит об отмене постановлений апелляционного и окружного судов, ссылаясь на игнорирование доказательств осуществления перевозки ответчиком и необходимость применения к ней сокращенного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предприниматель не предоставил встречного исполнения на полученные суммы, поэтому в отсутствие заключенного договора признали правоотношения возникшими из оказания услуг и взыскали полученную сумму в связи с их неоказанием по правилам главы 39 Гражданского кодекса Российской Федерации с применением соответствующего (общего) срока исковой давности. Доводы кассационной жалобы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Игнатову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