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21.03.2023 восстановлен срок на предъявление требования, заявление удовлетворено. Тринадцатый арбитражный апелляционный суд постановлением 21.06.2023 отменил определение от 21.03.2023 и отказал в удовлетворении заявления. Арбитражный суд Северо-Западного округа постановлением от 10.10.2023 постановление апелляционной инстанции от 21.06.2023 оставил без изменения. В кассационной жалобе Бульхин Н.Ш. просит отменить судебные акты апелляционного и окружного судов, ссылаясь на недействительность договора цессии и отсутствие преюдициального значения актов судов общей юрисдикции для настоящего спора.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заявитель утратил право требования заявленной суммы в связи с его уступкой, признанной в судебном порядке и повлекшей процессуальное правопреемство заимодавца в деле о взыскании задолженности по займу, поэтому в силу статей 71, 100 Федерального закона от 26.10.2002 № 127-ФЗ «О несостоятельности (банкротстве)», статьи 69 арбитражного процессуального кодекса Российской Федерации признал отсутствие основания для включения задолженности в реестр.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Бульхину Наилю Шавкатовичу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