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25.05.2023, оставленным без изменения постановлением Десятого арбитражного апелляционного суда от 25.07.2023, в третью очередь реестра включена неустойка в размере 395 345 рублей 18 копеек как обеспеченная залогом имущества должника. Арбитражный суд Московского округа постановлением от 09.10.2023 отменил определение от 25.05.2023 и постановление апелляционной инстанции от 25.07.2023 в части отказа в удовлетворении требования о включении в реестр процентов в размере 5 609 549 рублей 23 копеек и направил обособленный спор в указанной части на новое рассмотрение в суд первой инстанции. В кассационной жалобе ФИО1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в связи с неустановлением судами нижестоящих инстанций значимых для его разрешения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"ПЕРВОУРАЛЬСКИЙ АКЦИОНЕРНЫЙ КОММЕРЧЕСКИЙ БАНК" (подробнее) ООО "Феникс"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