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22.12.2021, оставленным без изменения постановлением Одиннадцатого арбитражного апелляционного суда от 31.03.2022 и постановлением Арбитражного суда Поволжского округа от 04.08.2022, жалоба удовлетворена в части признания незаконными действий ФИО1, выразившихся в необоснованном затягивании процедуры банкротства и в неверном отражении сведений о лицах, привлеченных управляющим для обеспечения своей деятельности, действий ФИО3, выразившихся в неверном отражении информации о расходах на проведение процедуры банкротства должника. В кассационной жалобе ФИО1 просит об отмене судебных актов, ссылаясь на игнорирование его доводов и принятие неосновательных доводов УФНС.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Требуемая переоценка управляющим его деятельности, проверенной на соответствие критериям статей 20.3 , 213.9 Федерального закона от 26.10.2002 № 127-ФЗ «О несостоятельности (банкротстве)»,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Межрайонная ИФНС России №2 по Самарской области (подробнее) ФНС России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