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01.02.2024 (согласно отметке почтового органа на конверте) обратились в Верховный Суд Российской Федерации с жалобой на определение судьи Верховного Суда Российской Федерации от 23.11.2023 № 305-ЭС23-22962, решение Арбитражного суда города Москвы от 10.03.2023, постановление Девятого арбитражного апелляционного суда от 14.06.2023 и постановление Арбитражного суда Московского округа от 28.08.2023 по делу № А40-209284/2021,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 с ограниченной ответственностью «ИМПЕРИЯ-СКЛАД», «ИМПЕРИЯ-ФАБРИКА», «СКЛАДОЧНАЯ ПСВ» о восстановлении пропущенного процессуального срока отказать. Жалобу возвратить заявителям.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