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28.03.2023, оставленным без изменения постановлением Семнадцатого арбитражного апелляционного суда от 25.05.2023 и постановлением Арбитражного суда Уральского округа от 03.10.2023, из конкурсной массы единовременно исключены денежные средства в сумме 33 500 рублей на оплату обучения. В кассационной жалобе Богатырева Н.С. просит об отмене судебных актов, ссылаясь на нарушение баланса интересов сторон в деле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Выводы судов о необходимости произвести оплату за обучение на основании заключенного с образовательным учреждением договора соответствуют требованиям статьей 446 Гражданского процессуального кодекса Российской Федерации, статье 213.25 Федерального закона от 26.10.2002 № 127-ФЗ «О несостоятельности (банкротстве)», постановлению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Нарушения баланса интересов в деле о банкротстве не подтверждено. Доводы кассационной жалобы не подтверждают нарушения норм права и не создают указанных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Богатыревой Наталье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