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Арбитражного суда Рязанской области от 03.03.2023, оставленным без изменения постановлением Двадцатого арбитражного апелляционного суда от 08.06.2023 и постановлением Арбитражного суда Центрального округа от 11.10.2023, в удовлетворении заявления отказано. В кассационных жалобах Овсяницкая Н.С. и Ярлыков А.Ю. просят об отмене судебных актов, ссылаясь на недобросовестность должника и доказанность нецелесообразности дальнейшего продления процедуры реструктуризации.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Признав наличие у должника имущества для расчетов с кредиторами и по долгам, не включенным в план реструктуризации, исполняемый должником, суды отклонили заявленные требования в соответствии со статьями 213.14, 213.19, 213.23 Федерального закона от 26.10.2002 № 127-ФЗ «О несостоятельности (банкротстве)». Доводы, приведенные в кассационных жалобах, не подтверждают нарушения норм права и не составляют оснований для пересмотра обжалуемых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Овсяницкой Надежде Сергеевне и Ярлыкову Алексею Юрьевичу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