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26.10.2023, оставленным без изменения определением того же суда от 24.11.2023, жалоба Ахмятшина А.Х. на постановление Второго арбитражного апелляционного суда от 06.08.2023 возвращена в связи с пропуском срока подачи и отказом в восстановлении срока. В кассационной жалобе ФИО1 просит отменить судебные акты, ссылаясь на возложение полномочий на представителя, не исполнившего их надлежащим образом.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рассмотрел приведенную причину пропуска срока на подачу кассационной жалобы и в соответствии с компетенцией оценил ее как необъективную. Отказ в восстановлении срока на обжалование судебного акта соответствует части 2 статьи 117 и пункту 2 части 1 статьи 281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ФИО2 Суд: Верховный Суд РФ (подробнее) Истцы: АО "Банк Русский Стандарт" (подробнее) Общество с ограниченной ответственность "Феникс" (подробнее) Иные лица: СРО Союз арбитражных управляющих "Возрождение" (подробнее) Управление Федеральной налоговой службы по Костромской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