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19.05.2023, оставленным без изменения постановлением Семнадцатого арбитражного апелляционного суда от 18.07.2023 и постановлением Арбитражного суда Уральского округа от 11.10.2023, в удовлетворении заявления отказано. В кассационной жалобе Мазанова И.В. просит об отмене судебных актов, ссылаясь на отсутствие надлежащей оценки бездействия финансового управляющего в вопросе оспаривания сделки по общегражданским основаниям. В силу части 1 статьи 291.11 Арбитражного процессуального кодекса Российской Федерации основаниями для отмены ил 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 отсутствие вменяемых нарушений для применения к управляющему требуемой меры, поэтому отклонили заявление в соответствии со статьями 20.3, 60, 213.9 Федерального закона от 26.10.2002 № 127-ФЗ «О несостоятельности (банкротстве)» и их судебного толкования. Иная оценка действий управляющего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Мазановой Ирине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