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04.04.2023, оставленным без изменения постановлением Девятого арбитражного апелляционного суда от 08.06.2023 и постановлением Арбитражного суда Московского округа от 10.10.2023, заявление удовлетворено. В кассационной жалобе общество «МФК «МГИиС» просит об отмене судебных актов, ссылаясь на противоречие их другим вступившим в законную силу судебным актам, принятым в отношении спорного имущества в деле о банкротстве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утрату обществом «МФК «МГИиС» статуса залогового кредитора в отношении спорного имущества, обусловливающего его продажу независимо от исполнительского иммунитета, поэтому удовлетворили требования должника. Обеспеченность должника и членов его семьи жильем исследована в пределах рассматриваемого спора применительно к основаниям для оспаривания торгов.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«МФК «МГИиС»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