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Кировской области от 16.05.2023, оставленным без изменения постановлением Второго арбитражного апелляционного суда от 06.08.2023 и постановлением Арбитражного суда Волго-Вятского округа от 21.11.2023, в удовлетворении заявления финансового управляющего отказано, требование Потеминой Н.В. признано обоснованным и включено в третью очередь реестра. В кассационной жалобе Веселухин А.В. просит об отмене судебных актов, ссылаясь на отсутствие надлежащей оценки обстоятельств совершения оспариваемых сделок.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обстоятельства заключения договоров в пределах рассматриваемого спора, учли установленные судом общей юрисдикции обстоятельства исполнения договоров займа и, руководствуясь статьями 16, 69 Арбитражного процессуального кодекса Российской Федерации статьей 61.2 Федерального закона от 26.10.2002 № 127-ФЗ «О несостоятельности (банкротстве)», статьей 10 Гражданского кодекса Российской Федерации, признали отсутствие условий для недействительности сделок. Иная оценка обстоятельств заключения сделок не создает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 управляющем Веселухину Андрею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