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20.02.2023 первоначальный и встречный иски удовлетворен частично: в результате зачета удовлетворенных требований с завода в пользу общества взыскано 320 188 рублей 43 копейки. Постановлением Седьмого арбитражного апелляционного суда от 13.06.2023 решение изменено: иски удовлетворены частично, в результате зачета удовлетворенных требований с завода в пользу общества взыскано 298 275 рублей 99 копеек. В кассационной жалобе завод просит об отмене судебных актов в части взыскания с него 133 944 рублей 89 копеек убытков, составляющих расходы общества на аренду вагонов, ссылаясь на неправомерное возложение обязанности их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условия, необходимые для взыскания расходов общества в спорной сумме в силу статей 15, 393 Гражданского кодекса Российской Федерации. Доводы, связанные с обстоятельствами, составляющими условия для взыскания убытков,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«Ключевский завод ферросплавов»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