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28.04.2023, оставленным без изменения постановлением Девятого арбитражного апелляционного суда от 12.07.2023 и постановлением Арбитражного суда Московского округа от 06.10.2023, в удовлетворении заявления отказано. В кассационной жалобе ООО «Белтранзитгрупп» просит об отмене судебных актов, ссылаясь на недобросовестное поведение должника, повлекшее преждевременное завершение процедур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вступившим в законную силу определением суда процедура реализации имущества должника завершена с применением правила пункта 3 статьи 213.28 Федерального закона от 26.10.2002 № 127-ФЗ «О несостоятельности (банкротстве)». Состоявшееся процессуальное правопреемство не влечет восстановления обязательства, судьбы которого решена в названном судебном акте.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«Белтранзитгрупп»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