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спора определением Арбитражного суда Московской области от 10.04.2023, оставленным без изменения постановлением Десятого арбитражного апелляционного суда от 05.06.2023 и постановлением Арбитражного суда Московского округа от 09.10.2023, должник не освобожден от дальнейшего исполнения требований кредиторов. В кассационной жалобе Токарев А.А. просит об отмене судебных актов, ссылаясь на несоответствие вывода судов о его недобросовестности обстоятельствам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В исследованных обстоятельствах возникновения и исполнения обязательств перед кредиторами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его исполнения. Иная оценка должником своих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Токареву Андрею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