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12.07.2023, оставленным без изменения постановлением Одиннадцатого арбитражного апелляционного суда от 05.09.2023 и постановлением Арбитражного суда Поволжского округа от 03.11.2023, в удовлетворении требования отказано. В кассационной жалобе Касимова А.Н. просит об отмене судебных актов, ссылаясь на игнорирование перехода прав в полном объеме и процессуального правопреемства.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к кредитору перешли права не стороны в кредитном обязательстве, а требование уплаченных за должника взысканных с него решением суда денежных сумм по кредитному договору, поэтому отклонили требование в силу подпункта 1 пункта 2, пункта 5 статьи 313 и статьи 387 Гражданского кодекса Российской Федерации. Иное толкование норм права не создает основанной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Касимовой Алине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