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20.04.2023, оставленным без изменения постановлением Десятого арбитражного апелляционного суда от 28.06.2023 и постановлением Арбитражного суда Московского округа от 04.10.2023, в удовлетворении заявления отказано. В кассационной жалобе общество просит отменить судебные акты, ссылаясь на лишение права на представление доказательств и рассмотрение неподсудного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удовлетворения заявления, разрешив его в соответствии со статьями 12, 209, 131, 223, 551 Гражданского кодекса Российской Федерации и статьей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«НДК»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