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08.06.2023 в удовлетворении заявления отказано. Одиннадцатый арбитражный апелляционный суд постановлением от 25.07.2023 отменил определение от 08.06.2023, признал требование общества «Глобал Факторинг Нетворк Рус» в размере 59 459 582 рублей 84 копеек обоснованным и подлежащим удовлетворению за счет имущества должника, оставшегося после удовлетворения требований кредиторов, включенных в реестр. Арбитражный суд Поволжского округа постановлением от 10.10.2023 постановление апелляционного суда от 25.07.2023 оставил без изменения. В кассационной жалобе Глейдман Д.С. просит об отмене судебных актов апелляционного и окружного судов, ссылаясь на некорректное исчисление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признали обоснованным требование кредитора как подтвержденное надлежащими доказательствами, соответствующее критериям статей 71, 100 Федерального закона от 26.10.2002 № 127-ФЗ «О несостоятельности (банкротстве)» и подлежащее удовлетворению в порядке, установленном пунктом 4 статьи 142 названного Закона. Доводу об исчислении срока исковой давности дана основанная на статье 200 Гражданского кодекса Российской Федерации оценка.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Глейдману Дмитрию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