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05.04.2023, оставленным без изменения постановлением Девятого арбитражного апелляционного суда от 03.08.2023 и постановлением Арбитражного суда Московского округа от 13.10.2023, в удовлетворении заявления отказано. В кассационной жалобе Дудин Е.В.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обстоятельств совершения сделки установили ее реальный характер, исключающий недействительность как в силу статьи 61.2 Федерального закона от 26.10.2002 № 127-ФЗ «О несостоятельности (банкротстве)», так и статей 10, 168 Гражданского кодекса Российской Федерации. Обстоятельства доказывания и оценки доказательств, на которых основаны доводы жалобы, разрешены судами согласно компетенции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Дудину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