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Оренбургской области от 15.05.2023, оставленным без изменения постановлением Восемнадцатого арбитражного апелляционного суда от 12.07.2023 и постановлением Арбитражного суда Уральского округа от 08.11.2023, разногласия разрешены: Администрация г. Оренбурга обязана принять принадлежащее должнику социально значимое имущество (сети газоснабжения), во взыскании компенсации его стоимости отказано. В кассационной жалобе Фаттахова Д.Р. просит отменить судебные акты в части отказа во взыскании стоимости переданного имущества как незаконные.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применен пункт 5 статьи 132 Федерального закона от 26.10.2002 № 127-ФЗ «О несостоятельности (банкротстве)», специально регулирующий передачу непроданного на рыночных условиях имущества, принадлежащего несостоятельному собственнику, в муниципальную собственность. Иное толкование норм материального права управляющим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Фаттаховой Д.Р.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