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28.03.2023, оставленным без изменения постановлением Девятого арбитражного апелляционного суда от 29.06.2023 и постановлением Арбитражного суда Московского округа от 18.10.2023, требование кредитора включены в третью очередь реестра должника с учетом пункта 3 статьи 137 Федерального закона от 26.10.2002 № 127-ФЗ «О несостоятельности (банкротстве)» (далее – Закон). В кассационной жалобе Пляхтур М.А. просит об отмене судебных актов, ссылаясь на игнорирование перечисления денежных средств в отсутствие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возникновения заемного обязательства должника перед кредитором, суды признали их отвечающими критериям статей 71, 100 Закона для включения основанного на них требования в реестр. Иная оценка правоотношений должником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Пляхтуру Максиму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