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19.09.2023, оставленным без изменения определением того же суда от 07.11.2023, жалоба Литвиновой И.К. на определение Арбитражного суда города Москвы от 14.04.2023 и постановление Девятого арбитражного апелляционного суда от 28.06.2023 возвращена в связи с пропуском срока подачи и отказом в восстановлении срока. В кассационной жалобе Литвинова И.К. просит отменить судебные акты как незаконные. Кассационная жалоба в части обжалования определения Арбитражного суда города Москвы от 14.04.2023 и постановления Девятого арбитражного апелляционного суда от 28.06.202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Литвиновой Ирине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