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15.05.2023, оставленным без изменения постановлением Десятого арбитражного апелляционного суда от 14.07.2023 и постановлением Арбитражного суда Московского округа от 03.10.2023, требование кредитора в размере 2 283 040 рублей 78 копеек включено в третью очередь реестра как обеспеченное залогом имущества должника. В кассационной жалобе Беляк Д.В. просит об отмене судебных актов, ссылаясь на пропуск кредитором срока для предъявления исполнительного документа к исполнению.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Требование кредитора, подтвержденное судебным актом, признано отвечающим критериям статей 71, 100 Федерального закона от 26.10.2002 № 127-ФЗ «О несостоятельности (банкротстве)». Имевшая место выдача судом в 2022 году взыскателю оригинала исполнительного листа указывает на отсутствие пропуска срока на принудительное исполнение судебного акта, по истечении которого без восстановления исполнительный лист не выдается.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Беляку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